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Pr>
          <w:rFonts w:ascii="Arial" w:hAnsi="Arial" w:cs="Arial"/>
          <w:b/>
          <w:noProof/>
          <w:sz w:val="24"/>
          <w:szCs w:val="24"/>
        </w:rPr>
        <w:t>7</w:t>
      </w:r>
      <w:r w:rsidRPr="004B7E17">
        <w:rPr>
          <w:rFonts w:ascii="Arial" w:hAnsi="Arial" w:cs="Arial"/>
          <w:b/>
          <w:noProof/>
          <w:sz w:val="24"/>
          <w:szCs w:val="24"/>
        </w:rPr>
        <w:tab/>
      </w:r>
      <w:r>
        <w:rPr>
          <w:rFonts w:ascii="Arial" w:hAnsi="Arial" w:cs="Arial"/>
          <w:b/>
          <w:bCs/>
          <w:color w:val="808080"/>
          <w:sz w:val="26"/>
          <w:szCs w:val="26"/>
        </w:rPr>
        <w:t>R4-1807</w:t>
      </w:r>
      <w:r w:rsidR="007C24B4">
        <w:rPr>
          <w:rFonts w:ascii="Arial" w:hAnsi="Arial" w:cs="Arial"/>
          <w:b/>
          <w:bCs/>
          <w:color w:val="808080"/>
          <w:sz w:val="26"/>
          <w:szCs w:val="26"/>
        </w:rPr>
        <w:t>861</w:t>
      </w:r>
    </w:p>
    <w:p w:rsidR="00E86E45" w:rsidRDefault="00E86E45" w:rsidP="00E86E45">
      <w:pPr>
        <w:pStyle w:val="Footer"/>
        <w:jc w:val="both"/>
        <w:rPr>
          <w:i w:val="0"/>
          <w:noProof w:val="0"/>
          <w:sz w:val="24"/>
          <w:szCs w:val="24"/>
          <w:lang w:eastAsia="ja-JP"/>
        </w:rPr>
      </w:pPr>
      <w:r>
        <w:rPr>
          <w:rFonts w:eastAsia="SimSun"/>
          <w:i w:val="0"/>
          <w:noProof w:val="0"/>
          <w:sz w:val="24"/>
          <w:szCs w:val="24"/>
        </w:rPr>
        <w:t>Busan</w:t>
      </w:r>
      <w:r>
        <w:rPr>
          <w:i w:val="0"/>
          <w:noProof w:val="0"/>
          <w:sz w:val="24"/>
          <w:szCs w:val="24"/>
          <w:lang w:eastAsia="ja-JP"/>
        </w:rPr>
        <w:t>, Korea May 21</w:t>
      </w:r>
      <w:r w:rsidRPr="00413377">
        <w:rPr>
          <w:i w:val="0"/>
          <w:noProof w:val="0"/>
          <w:sz w:val="24"/>
          <w:szCs w:val="24"/>
          <w:vertAlign w:val="superscript"/>
          <w:lang w:eastAsia="ja-JP"/>
        </w:rPr>
        <w:t>st</w:t>
      </w:r>
      <w:r>
        <w:rPr>
          <w:i w:val="0"/>
          <w:noProof w:val="0"/>
          <w:sz w:val="24"/>
          <w:szCs w:val="24"/>
          <w:lang w:eastAsia="ja-JP"/>
        </w:rPr>
        <w:t xml:space="preserve"> - 25</w:t>
      </w:r>
      <w:r w:rsidRPr="002E04DB">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Pr="00E86E45">
        <w:rPr>
          <w:rFonts w:ascii="Arial" w:hAnsi="Arial" w:cs="Arial"/>
          <w:b/>
          <w:color w:val="000000"/>
          <w:sz w:val="24"/>
          <w:szCs w:val="24"/>
        </w:rPr>
        <w:t>RRM issues in BWP switching</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Pr="00E86E45">
        <w:rPr>
          <w:rFonts w:ascii="Arial" w:hAnsi="Arial" w:cs="Arial"/>
          <w:b/>
          <w:color w:val="000000"/>
          <w:sz w:val="24"/>
          <w:szCs w:val="24"/>
        </w:rPr>
        <w:t>7.10.10.6 - BWP switching</w:t>
      </w:r>
      <w:r w:rsidRPr="00F735B9">
        <w:rPr>
          <w:rFonts w:ascii="Arial" w:hAnsi="Arial" w:cs="Arial"/>
          <w:b/>
          <w:color w:val="000000"/>
          <w:sz w:val="24"/>
          <w:szCs w:val="24"/>
        </w:rPr>
        <w:t xml:space="preserve"> [NR_newRAT-Core]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E86E45" w:rsidRPr="00E15948" w:rsidRDefault="00E86E45" w:rsidP="00E86E45">
      <w:pPr>
        <w:pStyle w:val="Heading1"/>
        <w:rPr>
          <w:rFonts w:eastAsia="SimSun"/>
          <w:lang w:eastAsia="zh-CN"/>
        </w:rPr>
      </w:pPr>
      <w:r>
        <w:rPr>
          <w:rFonts w:eastAsia="SimSun"/>
          <w:lang w:eastAsia="zh-CN"/>
        </w:rPr>
        <w:t xml:space="preserve">Background </w:t>
      </w:r>
    </w:p>
    <w:p w:rsidR="000151D0" w:rsidRDefault="00E86E45">
      <w:r>
        <w:t>During RAN4#86-bis a WF [1] was agreed to investigate RRM issues in BWP switching. In this contribution, we provide our view on the following issues from the WF</w:t>
      </w:r>
    </w:p>
    <w:p w:rsidR="009D2B1A" w:rsidRPr="00E86E45" w:rsidRDefault="004259CA" w:rsidP="00E86E45">
      <w:pPr>
        <w:numPr>
          <w:ilvl w:val="0"/>
          <w:numId w:val="11"/>
        </w:numPr>
      </w:pPr>
      <w:r w:rsidRPr="00E86E45">
        <w:t>Investigate for scenario where BWP switching results in change of the SCS from old SCS (SCS1) to a new SCS (SCS2), whether the time unit (number of symbols or slots) to express interruption time is based on SCS1 or SCS2.</w:t>
      </w:r>
    </w:p>
    <w:p w:rsidR="009D2B1A" w:rsidRPr="00E86E45" w:rsidRDefault="004259CA" w:rsidP="00E86E45">
      <w:pPr>
        <w:numPr>
          <w:ilvl w:val="0"/>
          <w:numId w:val="11"/>
        </w:numPr>
      </w:pPr>
      <w:r w:rsidRPr="00E86E45">
        <w:t>Investigate whether there is any problem for the UE to transmit and/or receive signals in one or more time resources (symbols or slots) occurring immediately after the interruption time due to BWP switching e.g.</w:t>
      </w:r>
    </w:p>
    <w:p w:rsidR="009D2B1A" w:rsidRPr="00E86E45" w:rsidRDefault="004259CA" w:rsidP="00E86E45">
      <w:pPr>
        <w:numPr>
          <w:ilvl w:val="1"/>
          <w:numId w:val="11"/>
        </w:numPr>
      </w:pPr>
      <w:r w:rsidRPr="00E86E45">
        <w:t>any impact on channel estimation,</w:t>
      </w:r>
    </w:p>
    <w:p w:rsidR="009D2B1A" w:rsidRPr="00E86E45" w:rsidRDefault="004259CA" w:rsidP="00E86E45">
      <w:pPr>
        <w:numPr>
          <w:ilvl w:val="1"/>
          <w:numId w:val="11"/>
        </w:numPr>
      </w:pPr>
      <w:r w:rsidRPr="00E86E45">
        <w:t>any possible impact on measurements,</w:t>
      </w:r>
    </w:p>
    <w:p w:rsidR="009D2B1A" w:rsidRPr="00E86E45" w:rsidRDefault="004259CA" w:rsidP="00E86E45">
      <w:pPr>
        <w:numPr>
          <w:ilvl w:val="1"/>
          <w:numId w:val="11"/>
        </w:numPr>
      </w:pPr>
      <w:r w:rsidRPr="00E86E45">
        <w:t>analysis to identify other possible impacts is not precluded.</w:t>
      </w:r>
    </w:p>
    <w:p w:rsidR="009D2B1A" w:rsidRPr="00E86E45" w:rsidRDefault="004259CA" w:rsidP="00E86E45">
      <w:pPr>
        <w:numPr>
          <w:ilvl w:val="0"/>
          <w:numId w:val="11"/>
        </w:numPr>
      </w:pPr>
      <w:r w:rsidRPr="00E86E45">
        <w:t xml:space="preserve">Investigate whether BWP switching due to change in only baseband parameter(s) without changing LO, RF BW or SCS will cause any interruption and the interruption time (if the procedure is supported and the interruption occurs). </w:t>
      </w:r>
    </w:p>
    <w:p w:rsidR="009D2B1A" w:rsidRDefault="004259CA" w:rsidP="00E86E45">
      <w:pPr>
        <w:numPr>
          <w:ilvl w:val="1"/>
          <w:numId w:val="11"/>
        </w:numPr>
      </w:pPr>
      <w:r w:rsidRPr="00E86E45">
        <w:t xml:space="preserve">Additionally investigate if changing baseband parameters without BWP switch will need interruptions (if the procedure is supported). </w:t>
      </w:r>
    </w:p>
    <w:p w:rsidR="00E86E45" w:rsidRDefault="00E86E45" w:rsidP="00E86E45">
      <w:pPr>
        <w:pStyle w:val="Heading1"/>
      </w:pPr>
      <w:r>
        <w:t>Discussion</w:t>
      </w:r>
    </w:p>
    <w:p w:rsidR="00E86E45" w:rsidRDefault="00E86E45" w:rsidP="00E86E45"/>
    <w:p w:rsidR="00652255" w:rsidRDefault="00652255" w:rsidP="00652255">
      <w:pPr>
        <w:pStyle w:val="Heading2"/>
      </w:pPr>
      <w:r>
        <w:t>Switching Delay</w:t>
      </w:r>
    </w:p>
    <w:p w:rsidR="00E86E45" w:rsidRDefault="00E86E45" w:rsidP="00E86E45">
      <w:r>
        <w:t xml:space="preserve">There is already agreement on the delay required for BWP switch. During this delay, the UE is not expected to receive or transmit on the serving cell. The agreed upon numbers for switching delay is </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135"/>
        <w:gridCol w:w="1080"/>
        <w:gridCol w:w="1172"/>
        <w:gridCol w:w="3647"/>
      </w:tblGrid>
      <w:tr w:rsidR="00E86E45" w:rsidRPr="00CB05E0" w:rsidTr="0025175C">
        <w:trPr>
          <w:trHeight w:val="424"/>
          <w:jc w:val="center"/>
        </w:trPr>
        <w:tc>
          <w:tcPr>
            <w:tcW w:w="1827" w:type="dxa"/>
            <w:shd w:val="clear" w:color="000000" w:fill="D9D9D9"/>
            <w:vAlign w:val="center"/>
            <w:hideMark/>
          </w:tcPr>
          <w:p w:rsidR="00E86E45" w:rsidRPr="009226D2" w:rsidRDefault="00E86E45" w:rsidP="0025175C">
            <w:pPr>
              <w:rPr>
                <w:rFonts w:ascii="Arial" w:hAnsi="Arial" w:cs="Arial"/>
                <w:b/>
                <w:bCs/>
                <w:sz w:val="18"/>
                <w:szCs w:val="18"/>
              </w:rPr>
            </w:pPr>
            <w:r w:rsidRPr="009226D2">
              <w:rPr>
                <w:rFonts w:ascii="Arial" w:hAnsi="Arial" w:cs="Arial"/>
                <w:b/>
                <w:bCs/>
                <w:sz w:val="18"/>
                <w:szCs w:val="18"/>
              </w:rPr>
              <w:lastRenderedPageBreak/>
              <w:t>Freq</w:t>
            </w:r>
            <w:r w:rsidRPr="00CB05E0">
              <w:rPr>
                <w:rFonts w:ascii="Arial" w:hAnsi="Arial" w:cs="Arial"/>
                <w:b/>
                <w:bCs/>
                <w:sz w:val="18"/>
                <w:szCs w:val="18"/>
              </w:rPr>
              <w:t xml:space="preserve">uency </w:t>
            </w:r>
            <w:r w:rsidRPr="009226D2">
              <w:rPr>
                <w:rFonts w:ascii="Arial" w:hAnsi="Arial" w:cs="Arial"/>
                <w:b/>
                <w:bCs/>
                <w:sz w:val="18"/>
                <w:szCs w:val="18"/>
              </w:rPr>
              <w:t>Range</w:t>
            </w:r>
          </w:p>
        </w:tc>
        <w:tc>
          <w:tcPr>
            <w:tcW w:w="1135" w:type="dxa"/>
            <w:shd w:val="clear" w:color="000000" w:fill="D9D9D9"/>
            <w:vAlign w:val="center"/>
            <w:hideMark/>
          </w:tcPr>
          <w:p w:rsidR="00E86E45" w:rsidRPr="009226D2" w:rsidRDefault="00E86E45" w:rsidP="0025175C">
            <w:pPr>
              <w:rPr>
                <w:rFonts w:ascii="Arial" w:hAnsi="Arial" w:cs="Arial"/>
                <w:b/>
                <w:bCs/>
                <w:sz w:val="18"/>
                <w:szCs w:val="18"/>
              </w:rPr>
            </w:pPr>
            <w:r w:rsidRPr="009226D2">
              <w:rPr>
                <w:rFonts w:ascii="Arial" w:hAnsi="Arial" w:cs="Arial"/>
                <w:b/>
                <w:bCs/>
                <w:sz w:val="18"/>
                <w:szCs w:val="18"/>
              </w:rPr>
              <w:t>Scen</w:t>
            </w:r>
            <w:r w:rsidRPr="00CB05E0">
              <w:rPr>
                <w:rFonts w:ascii="Arial" w:hAnsi="Arial" w:cs="Arial"/>
                <w:b/>
                <w:bCs/>
                <w:sz w:val="18"/>
                <w:szCs w:val="18"/>
              </w:rPr>
              <w:t>ario</w:t>
            </w:r>
          </w:p>
        </w:tc>
        <w:tc>
          <w:tcPr>
            <w:tcW w:w="1080" w:type="dxa"/>
            <w:shd w:val="clear" w:color="000000" w:fill="D9D9D9"/>
            <w:vAlign w:val="center"/>
            <w:hideMark/>
          </w:tcPr>
          <w:p w:rsidR="00E86E45" w:rsidRDefault="00E86E45" w:rsidP="0025175C">
            <w:pPr>
              <w:jc w:val="center"/>
              <w:rPr>
                <w:rFonts w:ascii="Arial" w:hAnsi="Arial" w:cs="Arial"/>
                <w:b/>
                <w:bCs/>
                <w:sz w:val="18"/>
                <w:szCs w:val="18"/>
              </w:rPr>
            </w:pPr>
            <w:r>
              <w:rPr>
                <w:rFonts w:ascii="Arial" w:hAnsi="Arial" w:cs="Arial"/>
                <w:b/>
                <w:bCs/>
                <w:sz w:val="18"/>
                <w:szCs w:val="18"/>
              </w:rPr>
              <w:t>Type 1</w:t>
            </w:r>
          </w:p>
          <w:p w:rsidR="00E86E45" w:rsidRPr="009226D2" w:rsidRDefault="00E86E45" w:rsidP="0025175C">
            <w:pPr>
              <w:jc w:val="center"/>
              <w:rPr>
                <w:rFonts w:ascii="Arial" w:hAnsi="Arial" w:cs="Arial"/>
                <w:b/>
                <w:bCs/>
                <w:sz w:val="18"/>
                <w:szCs w:val="18"/>
              </w:rPr>
            </w:pPr>
            <w:r w:rsidRPr="009226D2">
              <w:rPr>
                <w:rFonts w:ascii="Arial" w:hAnsi="Arial" w:cs="Arial"/>
                <w:b/>
                <w:bCs/>
                <w:sz w:val="18"/>
                <w:szCs w:val="18"/>
              </w:rPr>
              <w:t>Delay</w:t>
            </w:r>
            <w:r w:rsidRPr="00CB05E0">
              <w:rPr>
                <w:rFonts w:ascii="Arial" w:hAnsi="Arial" w:cs="Arial"/>
                <w:b/>
                <w:bCs/>
                <w:sz w:val="18"/>
                <w:szCs w:val="18"/>
              </w:rPr>
              <w:t xml:space="preserve"> </w:t>
            </w:r>
            <w:r w:rsidRPr="009226D2">
              <w:rPr>
                <w:rFonts w:ascii="Arial" w:hAnsi="Arial" w:cs="Arial"/>
                <w:b/>
                <w:bCs/>
                <w:sz w:val="18"/>
                <w:szCs w:val="18"/>
              </w:rPr>
              <w:t>(us)</w:t>
            </w:r>
          </w:p>
        </w:tc>
        <w:tc>
          <w:tcPr>
            <w:tcW w:w="1172" w:type="dxa"/>
            <w:shd w:val="clear" w:color="000000" w:fill="D9D9D9"/>
          </w:tcPr>
          <w:p w:rsidR="00E86E45" w:rsidRDefault="00E86E45" w:rsidP="0025175C">
            <w:pPr>
              <w:jc w:val="center"/>
              <w:rPr>
                <w:rFonts w:ascii="Arial" w:hAnsi="Arial" w:cs="Arial"/>
                <w:b/>
                <w:bCs/>
                <w:sz w:val="18"/>
                <w:szCs w:val="18"/>
              </w:rPr>
            </w:pPr>
            <w:r>
              <w:rPr>
                <w:rFonts w:ascii="Arial" w:hAnsi="Arial" w:cs="Arial"/>
                <w:b/>
                <w:bCs/>
                <w:sz w:val="18"/>
                <w:szCs w:val="18"/>
              </w:rPr>
              <w:t>Type 2</w:t>
            </w:r>
          </w:p>
          <w:p w:rsidR="00E86E45" w:rsidRPr="00CB05E0" w:rsidRDefault="00E86E45" w:rsidP="0025175C">
            <w:pPr>
              <w:jc w:val="center"/>
              <w:rPr>
                <w:rFonts w:ascii="Arial" w:hAnsi="Arial" w:cs="Arial"/>
                <w:b/>
                <w:bCs/>
                <w:sz w:val="18"/>
                <w:szCs w:val="18"/>
              </w:rPr>
            </w:pPr>
            <w:r>
              <w:rPr>
                <w:rFonts w:ascii="Arial" w:hAnsi="Arial" w:cs="Arial"/>
                <w:b/>
                <w:bCs/>
                <w:sz w:val="18"/>
                <w:szCs w:val="18"/>
              </w:rPr>
              <w:t>Delay (us)</w:t>
            </w:r>
          </w:p>
        </w:tc>
        <w:tc>
          <w:tcPr>
            <w:tcW w:w="3647" w:type="dxa"/>
            <w:shd w:val="clear" w:color="000000" w:fill="D9D9D9"/>
            <w:vAlign w:val="center"/>
          </w:tcPr>
          <w:p w:rsidR="00E86E45" w:rsidRPr="009226D2" w:rsidRDefault="00E86E45" w:rsidP="0025175C">
            <w:pPr>
              <w:jc w:val="center"/>
              <w:rPr>
                <w:rFonts w:ascii="Arial" w:hAnsi="Arial" w:cs="Arial"/>
                <w:b/>
                <w:bCs/>
                <w:sz w:val="18"/>
                <w:szCs w:val="18"/>
              </w:rPr>
            </w:pPr>
            <w:r w:rsidRPr="00CB05E0">
              <w:rPr>
                <w:rFonts w:ascii="Arial" w:hAnsi="Arial" w:cs="Arial"/>
                <w:b/>
                <w:bCs/>
                <w:sz w:val="18"/>
                <w:szCs w:val="18"/>
              </w:rPr>
              <w:t>Comment</w:t>
            </w:r>
          </w:p>
        </w:tc>
      </w:tr>
      <w:tr w:rsidR="00E86E45" w:rsidRPr="00CB05E0" w:rsidTr="0025175C">
        <w:trPr>
          <w:trHeight w:val="20"/>
          <w:jc w:val="center"/>
        </w:trPr>
        <w:tc>
          <w:tcPr>
            <w:tcW w:w="1827" w:type="dxa"/>
            <w:vMerge w:val="restart"/>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w:t>
            </w:r>
            <w:r w:rsidRPr="00CB05E0">
              <w:rPr>
                <w:rFonts w:ascii="Arial" w:hAnsi="Arial" w:cs="Arial"/>
                <w:sz w:val="18"/>
                <w:szCs w:val="18"/>
              </w:rPr>
              <w:t>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Pr>
                <w:rFonts w:ascii="Arial" w:hAnsi="Arial" w:cs="Arial"/>
                <w:sz w:val="18"/>
                <w:szCs w:val="18"/>
              </w:rPr>
              <w:t>400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950</w:t>
            </w:r>
          </w:p>
        </w:tc>
        <w:tc>
          <w:tcPr>
            <w:tcW w:w="3647" w:type="dxa"/>
          </w:tcPr>
          <w:p w:rsidR="00E86E45" w:rsidRPr="00CB05E0" w:rsidRDefault="00E86E45" w:rsidP="0025175C">
            <w:pPr>
              <w:jc w:val="right"/>
              <w:rPr>
                <w:rFonts w:ascii="Arial" w:hAnsi="Arial" w:cs="Arial"/>
                <w:sz w:val="18"/>
                <w:szCs w:val="18"/>
              </w:rPr>
            </w:pPr>
            <w:r w:rsidRPr="00CB05E0">
              <w:rPr>
                <w:rFonts w:ascii="Arial" w:hAnsi="Arial" w:cs="Arial"/>
                <w:sz w:val="18"/>
                <w:szCs w:val="18"/>
              </w:rPr>
              <w:t>No delay required from the RF perspective</w:t>
            </w:r>
          </w:p>
        </w:tc>
      </w:tr>
      <w:tr w:rsidR="00E86E45" w:rsidRPr="00CB05E0" w:rsidTr="0025175C">
        <w:trPr>
          <w:trHeight w:val="20"/>
          <w:jc w:val="center"/>
        </w:trPr>
        <w:tc>
          <w:tcPr>
            <w:tcW w:w="1827" w:type="dxa"/>
            <w:vMerge w:val="restart"/>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Pr>
                <w:rFonts w:ascii="Arial" w:hAnsi="Arial" w:cs="Arial"/>
                <w:sz w:val="18"/>
                <w:szCs w:val="18"/>
              </w:rPr>
              <w:t>400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950</w:t>
            </w:r>
          </w:p>
        </w:tc>
        <w:tc>
          <w:tcPr>
            <w:tcW w:w="3647" w:type="dxa"/>
          </w:tcPr>
          <w:p w:rsidR="00E86E45" w:rsidRPr="00CB05E0" w:rsidRDefault="00E86E45" w:rsidP="0025175C">
            <w:pPr>
              <w:jc w:val="right"/>
              <w:rPr>
                <w:rFonts w:ascii="Arial" w:hAnsi="Arial" w:cs="Arial"/>
                <w:sz w:val="18"/>
                <w:szCs w:val="18"/>
              </w:rPr>
            </w:pPr>
            <w:r w:rsidRPr="00CB05E0">
              <w:rPr>
                <w:rFonts w:ascii="Arial" w:hAnsi="Arial" w:cs="Arial"/>
                <w:sz w:val="18"/>
                <w:szCs w:val="18"/>
              </w:rPr>
              <w:t>No delay required from the RF perspective</w:t>
            </w:r>
          </w:p>
        </w:tc>
      </w:tr>
    </w:tbl>
    <w:p w:rsidR="00E86E45" w:rsidRDefault="00E86E45" w:rsidP="00E86E45"/>
    <w:p w:rsidR="00652255" w:rsidRDefault="00E86E45" w:rsidP="00E86E45">
      <w:r>
        <w:t xml:space="preserve">These numbers can also be expressed in terms of slots or symbols depending on SCS. This is easy when both the source and target SCS are the same. There is an open question as to which </w:t>
      </w:r>
      <w:r w:rsidR="00652255">
        <w:t>SCS should be used when the source and target SCS differ. From the UE perspective, the SW processing “clock” starts in source SCS and during the switch changes to target SCS. Since UE processing straddles both the SCS’s to quantize the switching delay, the larger SCS should be chosen.</w:t>
      </w:r>
    </w:p>
    <w:p w:rsidR="00E86E45" w:rsidRDefault="00652255" w:rsidP="00E86E45">
      <w:r w:rsidRPr="00652255">
        <w:rPr>
          <w:b/>
        </w:rPr>
        <w:t>Proposal 1</w:t>
      </w:r>
      <w:r>
        <w:t>:   The switching delay should be expressed in larger of the source and target SCS</w:t>
      </w:r>
    </w:p>
    <w:p w:rsidR="00652255" w:rsidRDefault="00E86E45" w:rsidP="00E86E45">
      <w:r>
        <w:t xml:space="preserve"> </w:t>
      </w:r>
    </w:p>
    <w:p w:rsidR="00652255" w:rsidRDefault="00652255" w:rsidP="00652255">
      <w:pPr>
        <w:pStyle w:val="Heading2"/>
      </w:pPr>
      <w:r>
        <w:t>Loops</w:t>
      </w:r>
    </w:p>
    <w:p w:rsidR="00652255" w:rsidRDefault="00652255" w:rsidP="00652255">
      <w:r>
        <w:t>In general, the timing, frequency and AGC loops should not need to be reset when a BWP switch takes place. However, the UE will need to reset its channel estimation and CSI feedback will need to be provided in the new BWP.</w:t>
      </w:r>
    </w:p>
    <w:p w:rsidR="00652255" w:rsidRDefault="00652255" w:rsidP="00652255">
      <w:r w:rsidRPr="00652255">
        <w:rPr>
          <w:b/>
        </w:rPr>
        <w:t>Proposal 2</w:t>
      </w:r>
      <w:r>
        <w:t xml:space="preserve">: CSI feedback will need to be provided after a BWP switch. </w:t>
      </w:r>
    </w:p>
    <w:p w:rsidR="00652255" w:rsidRDefault="00652255" w:rsidP="00652255">
      <w:pPr>
        <w:pStyle w:val="Heading2"/>
      </w:pPr>
      <w:r>
        <w:t xml:space="preserve">Baseband Parameter change </w:t>
      </w:r>
    </w:p>
    <w:p w:rsidR="00652255" w:rsidRDefault="00652255" w:rsidP="00652255"/>
    <w:p w:rsidR="003020C8" w:rsidRDefault="003020C8" w:rsidP="00652255">
      <w:r>
        <w:t xml:space="preserve">RAN1 has a list of parameters that can be BWP dependent as listed in [2]. The network can configure the UE with two different BWP’s where the LO, BW, and SCS are all the same, but there one or more of these parameters are different. We would like to clarify that a switch between two such BWP’s would fall under scenario 4 as described in [3]. </w:t>
      </w:r>
    </w:p>
    <w:p w:rsidR="003020C8" w:rsidRDefault="003020C8" w:rsidP="00652255">
      <w:r w:rsidRPr="003020C8">
        <w:rPr>
          <w:b/>
        </w:rPr>
        <w:t>Proposal 3</w:t>
      </w:r>
      <w:r>
        <w:t xml:space="preserve">: BWP switch between two BWP’s that only differ in baseband parameters falls under scenario 4. </w:t>
      </w:r>
    </w:p>
    <w:p w:rsidR="003020C8" w:rsidRDefault="003020C8" w:rsidP="003020C8">
      <w:pPr>
        <w:pStyle w:val="Heading1"/>
      </w:pPr>
      <w:r>
        <w:lastRenderedPageBreak/>
        <w:t>Conclusion</w:t>
      </w:r>
    </w:p>
    <w:p w:rsidR="003020C8" w:rsidRDefault="003020C8" w:rsidP="003020C8">
      <w:r w:rsidRPr="00652255">
        <w:rPr>
          <w:b/>
        </w:rPr>
        <w:t>Proposal 1</w:t>
      </w:r>
      <w:r>
        <w:t>:   The switching delay should be expressed in larger of the source and target SCS</w:t>
      </w:r>
    </w:p>
    <w:p w:rsidR="003020C8" w:rsidRDefault="003020C8" w:rsidP="003020C8">
      <w:r w:rsidRPr="00652255">
        <w:rPr>
          <w:b/>
        </w:rPr>
        <w:t>Proposal 2</w:t>
      </w:r>
      <w:r>
        <w:t>: CSI feedback will need to be provided after a BWP switch.</w:t>
      </w:r>
    </w:p>
    <w:p w:rsidR="003020C8" w:rsidRDefault="003020C8" w:rsidP="003020C8">
      <w:r w:rsidRPr="003020C8">
        <w:rPr>
          <w:b/>
        </w:rPr>
        <w:t>Proposal 3</w:t>
      </w:r>
      <w:r>
        <w:t xml:space="preserve">: BWP switch between two BWP’s that only differ in baseband parameters falls under scenario 4. </w:t>
      </w:r>
    </w:p>
    <w:p w:rsidR="003020C8" w:rsidRPr="003020C8" w:rsidRDefault="003020C8" w:rsidP="003020C8"/>
    <w:p w:rsidR="00E86E45" w:rsidRDefault="00E86E45" w:rsidP="00E86E45">
      <w:pPr>
        <w:pStyle w:val="Heading1"/>
      </w:pPr>
      <w:r>
        <w:t xml:space="preserve">References </w:t>
      </w:r>
    </w:p>
    <w:p w:rsidR="00E86E45" w:rsidRPr="009C2E96" w:rsidRDefault="00E86E45" w:rsidP="00E86E45">
      <w:r>
        <w:t xml:space="preserve">[1] </w:t>
      </w:r>
      <w:r w:rsidRPr="009C2E96">
        <w:t>R4-1805540</w:t>
      </w:r>
      <w:r>
        <w:t>, “</w:t>
      </w:r>
      <w:r w:rsidRPr="009C2E96">
        <w:t>Way forward on BWP Switching</w:t>
      </w:r>
      <w:r>
        <w:t>”, RAN4#86bis</w:t>
      </w:r>
    </w:p>
    <w:p w:rsidR="003020C8" w:rsidRDefault="003020C8" w:rsidP="003020C8">
      <w:pPr>
        <w:rPr>
          <w:rFonts w:cstheme="minorHAnsi"/>
        </w:rPr>
      </w:pPr>
      <w:r w:rsidRPr="00077458">
        <w:rPr>
          <w:rFonts w:cstheme="minorHAnsi"/>
        </w:rPr>
        <w:t>[2] R1-1801281, LS on correction to RRC parameters for NR, RAN1#AH-1801, Vancouver, CA</w:t>
      </w:r>
    </w:p>
    <w:p w:rsidR="00E86E45" w:rsidRPr="00E86E45" w:rsidRDefault="003020C8" w:rsidP="00E86E45">
      <w:r>
        <w:t xml:space="preserve">[3] </w:t>
      </w:r>
      <w:r w:rsidRPr="003020C8">
        <w:t>R4-1803283</w:t>
      </w:r>
      <w:r>
        <w:t xml:space="preserve">, </w:t>
      </w:r>
      <w:r w:rsidRPr="003020C8">
        <w:t>LS on BWP switching delay</w:t>
      </w:r>
      <w:r>
        <w:t>, RAN4#86, Athens, Greece</w:t>
      </w:r>
      <w:bookmarkStart w:id="0" w:name="_GoBack"/>
      <w:bookmarkEnd w:id="0"/>
    </w:p>
    <w:sectPr w:rsidR="00E86E45" w:rsidRPr="00E86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tentative="1">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83F"/>
    <w:rsid w:val="002E5195"/>
    <w:rsid w:val="003020C8"/>
    <w:rsid w:val="004259CA"/>
    <w:rsid w:val="0054383F"/>
    <w:rsid w:val="00652255"/>
    <w:rsid w:val="007057CC"/>
    <w:rsid w:val="007C24B4"/>
    <w:rsid w:val="00943B69"/>
    <w:rsid w:val="009D2B1A"/>
    <w:rsid w:val="009F2370"/>
    <w:rsid w:val="00E86E45"/>
    <w:rsid w:val="00F061C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84B9"/>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2018-05-14T20:09:00Z</dcterms:created>
  <dcterms:modified xsi:type="dcterms:W3CDTF">2018-05-14T22:24:00Z</dcterms:modified>
</cp:coreProperties>
</file>